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A" w:rsidRPr="000B3FC8" w:rsidRDefault="00DE1A6A" w:rsidP="00DE1A6A">
      <w:pPr>
        <w:pStyle w:val="Default"/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>1.2.3.13. ФИЗИКА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Механические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изученных физических моделей: материальная точка, инерциальная система отсчёта;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0B3FC8">
        <w:rPr>
          <w:sz w:val="22"/>
          <w:szCs w:val="22"/>
        </w:rPr>
        <w:t xml:space="preserve"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Тепловые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</w:t>
      </w:r>
      <w:r w:rsidRPr="000B3FC8">
        <w:rPr>
          <w:sz w:val="22"/>
          <w:szCs w:val="22"/>
        </w:rPr>
        <w:lastRenderedPageBreak/>
        <w:t xml:space="preserve">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моделей строения газов, жидкостей и твёрдых тел;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практического использования физических знаний о тепловых явлениях;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Электрические и магнитные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0B3FC8">
        <w:rPr>
          <w:sz w:val="22"/>
          <w:szCs w:val="22"/>
        </w:rPr>
        <w:t xml:space="preserve"> на основе анализа условия задачи выделять физические величины и формулы, необходимые для её решения, и проводить расчёты.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 xml:space="preserve">• приводить примеры практического использования физических знаний </w:t>
      </w:r>
      <w:proofErr w:type="gramStart"/>
      <w:r w:rsidRPr="000B3FC8">
        <w:rPr>
          <w:sz w:val="22"/>
          <w:szCs w:val="22"/>
        </w:rPr>
        <w:t>о</w:t>
      </w:r>
      <w:proofErr w:type="gramEnd"/>
      <w:r w:rsidRPr="000B3FC8">
        <w:rPr>
          <w:sz w:val="22"/>
          <w:szCs w:val="22"/>
        </w:rPr>
        <w:t xml:space="preserve"> электромагнитных явлениях;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Квантовые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различать основные признаки планетарной модели атома, нуклонной модели атомного ядра;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соотносить энергию связи атомных ядер с дефектом массы;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влияния радиоактивных излучений на живые организмы; понимать принцип действия дозиметра;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Элементы астрономии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суточного вращения звёздного неба, движения Луны, Солнца и планет относительно звёзд;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понимать различия между гелиоцентрической и геоцентрической системами мира.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характеристики звёзд (размер, цвет, температура), соотносить цвет звезды с её температурой; </w:t>
      </w:r>
    </w:p>
    <w:p w:rsidR="00DE1A6A" w:rsidRPr="000B3FC8" w:rsidRDefault="00DE1A6A" w:rsidP="00DE1A6A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гипотезы о происхождении Солнечной системы. 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6A"/>
    <w:rsid w:val="005B1AA3"/>
    <w:rsid w:val="00D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2017-10-18T02:53:00Z</dcterms:created>
  <dcterms:modified xsi:type="dcterms:W3CDTF">2017-10-18T02:53:00Z</dcterms:modified>
</cp:coreProperties>
</file>